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0509" w14:textId="15F20FF6" w:rsidR="00A41BC5" w:rsidRPr="00A41BC5" w:rsidRDefault="00A41BC5" w:rsidP="00A41BC5">
      <w:pPr>
        <w:jc w:val="right"/>
        <w:rPr>
          <w:bCs/>
          <w:iCs/>
          <w:szCs w:val="24"/>
        </w:rPr>
      </w:pPr>
      <w:r>
        <w:rPr>
          <w:bCs/>
          <w:iCs/>
          <w:szCs w:val="24"/>
        </w:rPr>
        <w:t>(Projekt)</w:t>
      </w:r>
      <w:bookmarkStart w:id="0" w:name="_GoBack"/>
      <w:bookmarkEnd w:id="0"/>
    </w:p>
    <w:p w14:paraId="0763E306" w14:textId="4CF1A104" w:rsidR="00DB7AF7" w:rsidRPr="00A652BF" w:rsidRDefault="00DB7AF7" w:rsidP="00184E48">
      <w:pPr>
        <w:jc w:val="center"/>
        <w:rPr>
          <w:b/>
          <w:bCs/>
          <w:szCs w:val="24"/>
        </w:rPr>
      </w:pPr>
      <w:r w:rsidRPr="00A652BF">
        <w:rPr>
          <w:b/>
          <w:bCs/>
          <w:szCs w:val="24"/>
        </w:rPr>
        <w:t>UCHWAŁA Nr ………</w:t>
      </w:r>
      <w:r w:rsidR="0031104F">
        <w:rPr>
          <w:b/>
          <w:bCs/>
          <w:szCs w:val="24"/>
        </w:rPr>
        <w:t>/2024</w:t>
      </w:r>
    </w:p>
    <w:p w14:paraId="1E0916E0" w14:textId="22716C40" w:rsidR="00DB7AF7" w:rsidRPr="00A652BF" w:rsidRDefault="00DB7AF7" w:rsidP="00184E48">
      <w:pPr>
        <w:jc w:val="center"/>
        <w:rPr>
          <w:b/>
          <w:bCs/>
          <w:szCs w:val="24"/>
        </w:rPr>
      </w:pPr>
      <w:r w:rsidRPr="00A652BF">
        <w:rPr>
          <w:b/>
          <w:bCs/>
          <w:szCs w:val="24"/>
        </w:rPr>
        <w:t>RADY GMINY</w:t>
      </w:r>
      <w:r w:rsidR="00FE1A09" w:rsidRPr="00A652BF">
        <w:rPr>
          <w:b/>
          <w:bCs/>
          <w:szCs w:val="24"/>
        </w:rPr>
        <w:t xml:space="preserve"> ALEKSANDRÓW</w:t>
      </w:r>
      <w:r w:rsidRPr="00A652BF">
        <w:rPr>
          <w:b/>
          <w:bCs/>
          <w:szCs w:val="24"/>
        </w:rPr>
        <w:t xml:space="preserve"> </w:t>
      </w:r>
    </w:p>
    <w:p w14:paraId="5DBF63F8" w14:textId="7C8B37BC" w:rsidR="00DB7AF7" w:rsidRPr="0031104F" w:rsidRDefault="00DB7AF7" w:rsidP="00184E48">
      <w:pPr>
        <w:jc w:val="center"/>
        <w:rPr>
          <w:bCs/>
          <w:szCs w:val="24"/>
        </w:rPr>
      </w:pPr>
      <w:r w:rsidRPr="0031104F">
        <w:rPr>
          <w:bCs/>
          <w:szCs w:val="24"/>
        </w:rPr>
        <w:t>z dnia ……</w:t>
      </w:r>
      <w:r w:rsidR="0031104F">
        <w:rPr>
          <w:bCs/>
          <w:szCs w:val="24"/>
        </w:rPr>
        <w:t>……</w:t>
      </w:r>
      <w:r w:rsidRPr="0031104F">
        <w:rPr>
          <w:bCs/>
          <w:szCs w:val="24"/>
        </w:rPr>
        <w:t>…….. r.</w:t>
      </w:r>
    </w:p>
    <w:p w14:paraId="126AFDB5" w14:textId="77777777" w:rsidR="00DB7AF7" w:rsidRPr="0031104F" w:rsidRDefault="00DB7AF7" w:rsidP="0031104F">
      <w:pPr>
        <w:jc w:val="center"/>
        <w:rPr>
          <w:b/>
          <w:szCs w:val="24"/>
        </w:rPr>
      </w:pPr>
      <w:r w:rsidRPr="0031104F">
        <w:rPr>
          <w:b/>
          <w:szCs w:val="24"/>
        </w:rPr>
        <w:t xml:space="preserve">zmieniająca uchwałę </w:t>
      </w:r>
      <w:bookmarkStart w:id="1" w:name="_Hlk171930874"/>
      <w:r w:rsidRPr="0031104F">
        <w:rPr>
          <w:b/>
          <w:szCs w:val="24"/>
        </w:rPr>
        <w:t>w sprawie określenia zasad udzielania dotacji z budżetu gminy na prace konserwatorskie, restauratorskie lub roboty budowlane przy zabytkach wpisanych do rejestru zabytków znajdujących się na terenie Gminy Aleksandrów</w:t>
      </w:r>
    </w:p>
    <w:bookmarkEnd w:id="1"/>
    <w:p w14:paraId="2D93CFB6" w14:textId="19A9AFBE" w:rsidR="00DB7AF7" w:rsidRPr="00A652BF" w:rsidRDefault="00DB7AF7" w:rsidP="00DB7AF7">
      <w:pPr>
        <w:jc w:val="both"/>
        <w:rPr>
          <w:szCs w:val="24"/>
        </w:rPr>
      </w:pPr>
      <w:r w:rsidRPr="00A652BF">
        <w:rPr>
          <w:szCs w:val="24"/>
        </w:rPr>
        <w:t>Na podstawie art. 81 ustawy z dnia 23 lipca 2003 r. o ochronie zabytków i opiece nad</w:t>
      </w:r>
      <w:r w:rsidR="00184E48" w:rsidRPr="00A652BF">
        <w:rPr>
          <w:szCs w:val="24"/>
        </w:rPr>
        <w:t> </w:t>
      </w:r>
      <w:r w:rsidRPr="00A652BF">
        <w:rPr>
          <w:szCs w:val="24"/>
        </w:rPr>
        <w:t>zabytkami (</w:t>
      </w:r>
      <w:proofErr w:type="spellStart"/>
      <w:r w:rsidRPr="00A652BF">
        <w:rPr>
          <w:szCs w:val="24"/>
        </w:rPr>
        <w:t>t.j</w:t>
      </w:r>
      <w:proofErr w:type="spellEnd"/>
      <w:r w:rsidRPr="00A652BF">
        <w:rPr>
          <w:szCs w:val="24"/>
        </w:rPr>
        <w:t>. Dz. U. z 2022 r. poz. 840; Dz. U. z 2023 poz. 951, poz. 1688, poz. 1904)</w:t>
      </w:r>
      <w:r w:rsidR="00184E48" w:rsidRPr="00A652BF">
        <w:rPr>
          <w:szCs w:val="24"/>
        </w:rPr>
        <w:t>, po zgłoszeniu do Prezesa U</w:t>
      </w:r>
      <w:r w:rsidR="005D3ECF" w:rsidRPr="00A652BF">
        <w:rPr>
          <w:szCs w:val="24"/>
        </w:rPr>
        <w:t>rzędu Ochrony Konkurencji i Konsumenta</w:t>
      </w:r>
      <w:r w:rsidR="00184E48" w:rsidRPr="00A652BF">
        <w:rPr>
          <w:szCs w:val="24"/>
        </w:rPr>
        <w:t xml:space="preserve"> oraz do Ministra Rolnictwa i Rozwoju Wsi,</w:t>
      </w:r>
      <w:r w:rsidRPr="00A652BF">
        <w:rPr>
          <w:szCs w:val="24"/>
        </w:rPr>
        <w:t xml:space="preserve"> uchwala się, co</w:t>
      </w:r>
      <w:r w:rsidR="00184E48" w:rsidRPr="00A652BF">
        <w:rPr>
          <w:szCs w:val="24"/>
        </w:rPr>
        <w:t> </w:t>
      </w:r>
      <w:r w:rsidRPr="00A652BF">
        <w:rPr>
          <w:szCs w:val="24"/>
        </w:rPr>
        <w:t>następuje:</w:t>
      </w:r>
    </w:p>
    <w:p w14:paraId="502817C6" w14:textId="2CE16998" w:rsidR="00BA2251" w:rsidRPr="00A652BF" w:rsidRDefault="00E6288F" w:rsidP="00DB7AF7">
      <w:pPr>
        <w:spacing w:before="26" w:after="0"/>
        <w:jc w:val="both"/>
        <w:rPr>
          <w:color w:val="000000"/>
          <w:szCs w:val="24"/>
        </w:rPr>
      </w:pPr>
      <w:r w:rsidRPr="00A652BF">
        <w:rPr>
          <w:bCs/>
          <w:color w:val="000000"/>
          <w:szCs w:val="24"/>
        </w:rPr>
        <w:t>§  1.</w:t>
      </w:r>
      <w:r w:rsidR="00042C4F" w:rsidRPr="00A652BF">
        <w:rPr>
          <w:bCs/>
          <w:color w:val="000000"/>
          <w:szCs w:val="24"/>
        </w:rPr>
        <w:t xml:space="preserve"> W uchwale nr XIII/83/2008 Rady Gminy w Aleksandrowie z dnia 26 marca 2008 r. </w:t>
      </w:r>
      <w:r w:rsidR="00BE0C96" w:rsidRPr="00A652BF">
        <w:rPr>
          <w:bCs/>
          <w:color w:val="000000"/>
          <w:szCs w:val="24"/>
        </w:rPr>
        <w:br/>
      </w:r>
      <w:r w:rsidR="00042C4F" w:rsidRPr="00A652BF">
        <w:rPr>
          <w:bCs/>
          <w:color w:val="000000"/>
          <w:szCs w:val="24"/>
        </w:rPr>
        <w:t xml:space="preserve">w sprawie określenia zasad udzielania dotacji z budżetu gminy na prace konserwatorskie, restauratorskie lub roboty budowlane przy zabytkach wpisanych do rejestru zabytków znajdujących się na terenie Gminy Aleksandrów (Dz. Urz. Woj. </w:t>
      </w:r>
      <w:r w:rsidR="0069198D" w:rsidRPr="00A652BF">
        <w:rPr>
          <w:bCs/>
          <w:color w:val="000000"/>
          <w:szCs w:val="24"/>
        </w:rPr>
        <w:t>z</w:t>
      </w:r>
      <w:r w:rsidR="00042C4F" w:rsidRPr="00A652BF">
        <w:rPr>
          <w:bCs/>
          <w:color w:val="000000"/>
          <w:szCs w:val="24"/>
        </w:rPr>
        <w:t xml:space="preserve"> 2008 r. 192 poz</w:t>
      </w:r>
      <w:r w:rsidR="003E57D4" w:rsidRPr="00A652BF">
        <w:rPr>
          <w:bCs/>
          <w:color w:val="000000"/>
          <w:szCs w:val="24"/>
        </w:rPr>
        <w:t>.</w:t>
      </w:r>
      <w:r w:rsidR="00042C4F" w:rsidRPr="00A652BF">
        <w:rPr>
          <w:bCs/>
          <w:color w:val="000000"/>
          <w:szCs w:val="24"/>
        </w:rPr>
        <w:t xml:space="preserve"> 1797), </w:t>
      </w:r>
      <w:r w:rsidR="00042C4F" w:rsidRPr="00A652BF">
        <w:rPr>
          <w:szCs w:val="24"/>
          <w:shd w:val="clear" w:color="auto" w:fill="FFFFFF"/>
        </w:rPr>
        <w:t xml:space="preserve">zmienionej uchwałą Nr XL/244/2010 Rady Gminy w Aleksandrowie z dnia 26 sierpnia 2010 r. zmieniającą uchwałę w sprawie określenia zasad udzielania dotacji z budżetu gminy na prace konserwatorskie, restauratorskie lub roboty budowlane przy zabytkach wpisanych do rejestru zabytków znajdujących się na terenie Gminy Aleksandrów (Dz. Urz. Woj. </w:t>
      </w:r>
      <w:proofErr w:type="spellStart"/>
      <w:r w:rsidR="00042C4F" w:rsidRPr="00A652BF">
        <w:rPr>
          <w:szCs w:val="24"/>
          <w:shd w:val="clear" w:color="auto" w:fill="FFFFFF"/>
        </w:rPr>
        <w:t>Łódzk</w:t>
      </w:r>
      <w:proofErr w:type="spellEnd"/>
      <w:r w:rsidR="00042C4F" w:rsidRPr="00A652BF">
        <w:rPr>
          <w:szCs w:val="24"/>
          <w:shd w:val="clear" w:color="auto" w:fill="FFFFFF"/>
        </w:rPr>
        <w:t xml:space="preserve">. </w:t>
      </w:r>
      <w:r w:rsidR="003E57D4" w:rsidRPr="00A652BF">
        <w:rPr>
          <w:szCs w:val="24"/>
          <w:shd w:val="clear" w:color="auto" w:fill="FFFFFF"/>
        </w:rPr>
        <w:t>z</w:t>
      </w:r>
      <w:r w:rsidR="00042C4F" w:rsidRPr="00A652BF">
        <w:rPr>
          <w:szCs w:val="24"/>
          <w:shd w:val="clear" w:color="auto" w:fill="FFFFFF"/>
        </w:rPr>
        <w:t xml:space="preserve"> 2010 r. Nr 293, poz.2414)</w:t>
      </w:r>
      <w:r w:rsidR="00232551" w:rsidRPr="00A652BF">
        <w:rPr>
          <w:szCs w:val="24"/>
          <w:shd w:val="clear" w:color="auto" w:fill="FFFFFF"/>
        </w:rPr>
        <w:t>, w</w:t>
      </w:r>
      <w:r w:rsidR="00042C4F" w:rsidRPr="00A652BF">
        <w:rPr>
          <w:color w:val="000000"/>
          <w:szCs w:val="24"/>
        </w:rPr>
        <w:t>prowadza się następujące zmiany</w:t>
      </w:r>
      <w:r w:rsidR="00702B84" w:rsidRPr="00A652BF">
        <w:rPr>
          <w:color w:val="000000"/>
          <w:szCs w:val="24"/>
        </w:rPr>
        <w:t>:</w:t>
      </w:r>
    </w:p>
    <w:p w14:paraId="157E303C" w14:textId="77777777" w:rsidR="00042C4F" w:rsidRPr="00A652BF" w:rsidRDefault="00042C4F" w:rsidP="00DB7AF7">
      <w:pPr>
        <w:spacing w:before="26" w:after="0"/>
        <w:jc w:val="both"/>
        <w:rPr>
          <w:szCs w:val="24"/>
        </w:rPr>
      </w:pPr>
    </w:p>
    <w:p w14:paraId="2D24EF62" w14:textId="31BEAE71" w:rsidR="00BA2251" w:rsidRPr="00A652BF" w:rsidRDefault="00042C4F" w:rsidP="00DB7AF7">
      <w:pPr>
        <w:spacing w:before="26" w:after="0"/>
        <w:jc w:val="both"/>
        <w:rPr>
          <w:b/>
          <w:szCs w:val="24"/>
        </w:rPr>
      </w:pPr>
      <w:r w:rsidRPr="00A652BF">
        <w:rPr>
          <w:b/>
          <w:color w:val="000000"/>
          <w:szCs w:val="24"/>
        </w:rPr>
        <w:t>1</w:t>
      </w:r>
      <w:r w:rsidR="002A0B96" w:rsidRPr="00A652BF">
        <w:rPr>
          <w:b/>
          <w:color w:val="000000"/>
          <w:szCs w:val="24"/>
        </w:rPr>
        <w:t xml:space="preserve"> </w:t>
      </w:r>
      <w:r w:rsidRPr="00A652BF">
        <w:rPr>
          <w:b/>
          <w:color w:val="000000"/>
          <w:szCs w:val="24"/>
        </w:rPr>
        <w:t xml:space="preserve">) </w:t>
      </w:r>
      <w:r w:rsidR="005D3ECF" w:rsidRPr="00A652BF">
        <w:rPr>
          <w:b/>
          <w:color w:val="000000"/>
          <w:szCs w:val="24"/>
        </w:rPr>
        <w:t xml:space="preserve"> </w:t>
      </w:r>
      <w:r w:rsidRPr="00A652BF">
        <w:rPr>
          <w:b/>
          <w:color w:val="000000"/>
          <w:szCs w:val="24"/>
        </w:rPr>
        <w:t>§  2 ust. 1</w:t>
      </w:r>
      <w:r w:rsidR="005D3ECF" w:rsidRPr="00A652BF">
        <w:rPr>
          <w:b/>
          <w:color w:val="000000"/>
          <w:szCs w:val="24"/>
        </w:rPr>
        <w:t xml:space="preserve"> </w:t>
      </w:r>
      <w:r w:rsidRPr="00A652BF">
        <w:rPr>
          <w:b/>
          <w:color w:val="000000"/>
          <w:szCs w:val="24"/>
        </w:rPr>
        <w:t>otrzymuje brzmienie:</w:t>
      </w:r>
    </w:p>
    <w:p w14:paraId="6B88D265" w14:textId="03E61273" w:rsidR="002061BD" w:rsidRPr="00A652BF" w:rsidRDefault="003E57D4" w:rsidP="00DB7AF7">
      <w:pPr>
        <w:spacing w:before="26" w:after="0"/>
        <w:jc w:val="both"/>
        <w:rPr>
          <w:szCs w:val="24"/>
        </w:rPr>
      </w:pPr>
      <w:r w:rsidRPr="00A652BF">
        <w:rPr>
          <w:color w:val="000000"/>
          <w:szCs w:val="24"/>
        </w:rPr>
        <w:t>„</w:t>
      </w:r>
      <w:r w:rsidR="00E6288F" w:rsidRPr="00A652BF">
        <w:rPr>
          <w:color w:val="000000"/>
          <w:szCs w:val="24"/>
        </w:rPr>
        <w:t>1.</w:t>
      </w:r>
      <w:r w:rsidR="0031104F">
        <w:rPr>
          <w:color w:val="000000"/>
          <w:szCs w:val="24"/>
        </w:rPr>
        <w:t xml:space="preserve"> </w:t>
      </w:r>
      <w:r w:rsidR="00E6288F" w:rsidRPr="00A652BF">
        <w:rPr>
          <w:color w:val="000000"/>
          <w:szCs w:val="24"/>
        </w:rPr>
        <w:t xml:space="preserve">Z budżetu Gminy Aleksandrów mogą być udzielane dotacje celowe na dofinansowanie </w:t>
      </w:r>
      <w:r w:rsidR="00FE3F11" w:rsidRPr="00A652BF">
        <w:rPr>
          <w:szCs w:val="24"/>
        </w:rPr>
        <w:t xml:space="preserve">lub sfinansowanie </w:t>
      </w:r>
      <w:r w:rsidR="00E6288F" w:rsidRPr="00A652BF">
        <w:rPr>
          <w:color w:val="000000"/>
          <w:szCs w:val="24"/>
        </w:rPr>
        <w:t>prac konserwatorskich, restauratorskich i robót budowlanych przy zabytkach ruchomych i nieruchomych znajdujących się na obszarze Gminy Aleksandrów.</w:t>
      </w:r>
      <w:r w:rsidRPr="00A652BF">
        <w:rPr>
          <w:color w:val="000000"/>
          <w:szCs w:val="24"/>
        </w:rPr>
        <w:t>”</w:t>
      </w:r>
    </w:p>
    <w:p w14:paraId="6CDE2EB1" w14:textId="77777777" w:rsidR="00042C4F" w:rsidRPr="00A652BF" w:rsidRDefault="00042C4F" w:rsidP="00BE0C96">
      <w:pPr>
        <w:spacing w:before="26" w:after="0"/>
        <w:jc w:val="both"/>
        <w:rPr>
          <w:color w:val="000000"/>
          <w:szCs w:val="24"/>
        </w:rPr>
      </w:pPr>
    </w:p>
    <w:p w14:paraId="25732087" w14:textId="7B36FF30" w:rsidR="009B2C34" w:rsidRPr="00A652BF" w:rsidRDefault="00E118B0" w:rsidP="00BE0C96">
      <w:pPr>
        <w:spacing w:after="0"/>
        <w:jc w:val="both"/>
        <w:rPr>
          <w:b/>
          <w:bCs/>
          <w:color w:val="000000"/>
          <w:szCs w:val="24"/>
        </w:rPr>
      </w:pPr>
      <w:r w:rsidRPr="00A652BF">
        <w:rPr>
          <w:b/>
          <w:bCs/>
          <w:color w:val="000000"/>
          <w:szCs w:val="24"/>
        </w:rPr>
        <w:t>2</w:t>
      </w:r>
      <w:r w:rsidR="002A0B96" w:rsidRPr="00A652BF">
        <w:rPr>
          <w:b/>
          <w:bCs/>
          <w:color w:val="000000"/>
          <w:szCs w:val="24"/>
        </w:rPr>
        <w:t xml:space="preserve"> </w:t>
      </w:r>
      <w:r w:rsidR="005D3ECF" w:rsidRPr="00A652BF">
        <w:rPr>
          <w:b/>
          <w:bCs/>
          <w:color w:val="000000"/>
          <w:szCs w:val="24"/>
        </w:rPr>
        <w:t xml:space="preserve">) </w:t>
      </w:r>
      <w:r w:rsidR="00042C4F" w:rsidRPr="00A652BF">
        <w:rPr>
          <w:b/>
          <w:bCs/>
          <w:color w:val="000000"/>
          <w:szCs w:val="24"/>
        </w:rPr>
        <w:t>§  3 otrzymuje brzmienie:</w:t>
      </w:r>
    </w:p>
    <w:p w14:paraId="08FF9EFE" w14:textId="2C5E6FAA" w:rsidR="00BA2251" w:rsidRPr="00A652BF" w:rsidRDefault="00042C4F" w:rsidP="002A0B96">
      <w:pPr>
        <w:spacing w:after="0"/>
        <w:jc w:val="both"/>
        <w:rPr>
          <w:color w:val="000000"/>
          <w:szCs w:val="24"/>
        </w:rPr>
      </w:pPr>
      <w:r w:rsidRPr="0031104F">
        <w:rPr>
          <w:color w:val="000000"/>
          <w:szCs w:val="24"/>
        </w:rPr>
        <w:t>„</w:t>
      </w:r>
      <w:r w:rsidRPr="00A652BF">
        <w:rPr>
          <w:color w:val="000000"/>
          <w:szCs w:val="24"/>
        </w:rPr>
        <w:t xml:space="preserve">Dotacja może być udzielana na dofinansowanie </w:t>
      </w:r>
      <w:r w:rsidR="00FE3F11" w:rsidRPr="00A652BF">
        <w:rPr>
          <w:szCs w:val="24"/>
        </w:rPr>
        <w:t xml:space="preserve">lub sfinansowanie </w:t>
      </w:r>
      <w:r w:rsidRPr="00A652BF">
        <w:rPr>
          <w:color w:val="000000"/>
          <w:szCs w:val="24"/>
        </w:rPr>
        <w:t>nakładów koniecznych na wykonanie prac konserwatorskich, restauratorskich lub robót budowlanych przy zabytku, ustalonych na podstawie kosztorysu, które zostaną przeprowadzone w roku złożenia przez wnioskodawcę wniosku o udzielenie dotacji lub roku następującym po roku złożenia tego wniosku.”</w:t>
      </w:r>
    </w:p>
    <w:p w14:paraId="3DBA03AB" w14:textId="77777777" w:rsidR="002061BD" w:rsidRPr="00A652BF" w:rsidRDefault="002061BD" w:rsidP="00BE0C96">
      <w:pPr>
        <w:spacing w:after="0"/>
        <w:jc w:val="both"/>
        <w:rPr>
          <w:szCs w:val="24"/>
        </w:rPr>
      </w:pPr>
    </w:p>
    <w:p w14:paraId="33B70DDD" w14:textId="07E8C1FD" w:rsidR="00042C4F" w:rsidRPr="00A652BF" w:rsidRDefault="00E118B0" w:rsidP="00DB7AF7">
      <w:pPr>
        <w:spacing w:before="26" w:after="0"/>
        <w:jc w:val="both"/>
        <w:rPr>
          <w:b/>
          <w:color w:val="000000"/>
          <w:szCs w:val="24"/>
        </w:rPr>
      </w:pPr>
      <w:r w:rsidRPr="00A652BF">
        <w:rPr>
          <w:b/>
          <w:color w:val="000000"/>
          <w:szCs w:val="24"/>
        </w:rPr>
        <w:t>3</w:t>
      </w:r>
      <w:r w:rsidR="002A0B96" w:rsidRPr="00A652BF">
        <w:rPr>
          <w:b/>
          <w:color w:val="000000"/>
          <w:szCs w:val="24"/>
        </w:rPr>
        <w:t xml:space="preserve"> </w:t>
      </w:r>
      <w:r w:rsidR="00042C4F" w:rsidRPr="00A652BF">
        <w:rPr>
          <w:b/>
          <w:color w:val="000000"/>
          <w:szCs w:val="24"/>
        </w:rPr>
        <w:t>) w §  10</w:t>
      </w:r>
      <w:r w:rsidR="00634BC8" w:rsidRPr="00A652BF">
        <w:rPr>
          <w:b/>
          <w:color w:val="FF0000"/>
          <w:szCs w:val="24"/>
        </w:rPr>
        <w:t xml:space="preserve"> </w:t>
      </w:r>
      <w:r w:rsidR="00042C4F" w:rsidRPr="00A652BF">
        <w:rPr>
          <w:b/>
          <w:color w:val="000000"/>
          <w:szCs w:val="24"/>
        </w:rPr>
        <w:t>po ust. 1 dodaje się ust. 1a, 1b i 1c w brzmieniu:</w:t>
      </w:r>
    </w:p>
    <w:p w14:paraId="5DCF833B" w14:textId="3DEE94D7" w:rsidR="00A100D6" w:rsidRPr="00A652BF" w:rsidRDefault="00042C4F" w:rsidP="00DB7AF7">
      <w:pPr>
        <w:spacing w:before="26" w:after="0"/>
        <w:jc w:val="both"/>
        <w:rPr>
          <w:szCs w:val="24"/>
        </w:rPr>
      </w:pPr>
      <w:r w:rsidRPr="00A652BF">
        <w:rPr>
          <w:b/>
          <w:szCs w:val="24"/>
        </w:rPr>
        <w:t>„</w:t>
      </w:r>
      <w:r w:rsidR="00A100D6" w:rsidRPr="00A652BF">
        <w:rPr>
          <w:szCs w:val="24"/>
        </w:rPr>
        <w:t>1a</w:t>
      </w:r>
      <w:r w:rsidR="006974C1" w:rsidRPr="00A652BF">
        <w:rPr>
          <w:szCs w:val="24"/>
        </w:rPr>
        <w:t>.</w:t>
      </w:r>
      <w:r w:rsidR="00A100D6" w:rsidRPr="00A652BF">
        <w:rPr>
          <w:szCs w:val="24"/>
        </w:rPr>
        <w:t xml:space="preserve"> Przed przedłożeniem Radzie Gminy złożonego wniosku Wójt Gminy powołuje komisję, która:</w:t>
      </w:r>
    </w:p>
    <w:p w14:paraId="7CEA4A5E" w14:textId="297D1B2F" w:rsidR="00A100D6" w:rsidRPr="00A652BF" w:rsidRDefault="00A100D6" w:rsidP="00DB7AF7">
      <w:pPr>
        <w:spacing w:before="26" w:after="0"/>
        <w:jc w:val="both"/>
        <w:rPr>
          <w:szCs w:val="24"/>
        </w:rPr>
      </w:pPr>
      <w:r w:rsidRPr="00A652BF">
        <w:rPr>
          <w:szCs w:val="24"/>
        </w:rPr>
        <w:t xml:space="preserve">1) dokonuje sprawdzenia wniosku pod względem formalnym (brak błędów formalnych) </w:t>
      </w:r>
      <w:r w:rsidR="00BE0C96" w:rsidRPr="00A652BF">
        <w:rPr>
          <w:szCs w:val="24"/>
        </w:rPr>
        <w:br/>
      </w:r>
      <w:r w:rsidRPr="00A652BF">
        <w:rPr>
          <w:szCs w:val="24"/>
        </w:rPr>
        <w:t>i merytorycznym;</w:t>
      </w:r>
    </w:p>
    <w:p w14:paraId="3B108EEC" w14:textId="2FD34EB6" w:rsidR="00A100D6" w:rsidRPr="00A652BF" w:rsidRDefault="00A100D6" w:rsidP="00DB7AF7">
      <w:pPr>
        <w:spacing w:before="26" w:after="0"/>
        <w:jc w:val="both"/>
        <w:rPr>
          <w:szCs w:val="24"/>
        </w:rPr>
      </w:pPr>
      <w:r w:rsidRPr="00A652BF">
        <w:rPr>
          <w:szCs w:val="24"/>
        </w:rPr>
        <w:t>2) dokonuje, wstępnej kwalifikacji nakładów koniecznych na wykonywanie prac, które mogą być przedmiotem dotacji.</w:t>
      </w:r>
    </w:p>
    <w:p w14:paraId="169F92C0" w14:textId="1173FB51" w:rsidR="00A100D6" w:rsidRPr="00A652BF" w:rsidRDefault="00A100D6" w:rsidP="00DB7AF7">
      <w:pPr>
        <w:spacing w:before="26" w:after="0"/>
        <w:jc w:val="both"/>
        <w:rPr>
          <w:szCs w:val="24"/>
        </w:rPr>
      </w:pPr>
      <w:r w:rsidRPr="00A652BF">
        <w:rPr>
          <w:szCs w:val="24"/>
        </w:rPr>
        <w:lastRenderedPageBreak/>
        <w:t xml:space="preserve">1b.Wniosek błędny formalnie podlega uzupełnieniu. Komisja wzywa ubiegającego się </w:t>
      </w:r>
      <w:r w:rsidR="00BE0C96" w:rsidRPr="00A652BF">
        <w:rPr>
          <w:szCs w:val="24"/>
        </w:rPr>
        <w:br/>
      </w:r>
      <w:r w:rsidRPr="00A652BF">
        <w:rPr>
          <w:szCs w:val="24"/>
        </w:rPr>
        <w:t xml:space="preserve">o dotację do uzupełnienia wniosku w terminie </w:t>
      </w:r>
      <w:r w:rsidR="00634BC8" w:rsidRPr="00A652BF">
        <w:rPr>
          <w:szCs w:val="24"/>
        </w:rPr>
        <w:t xml:space="preserve">30 </w:t>
      </w:r>
      <w:r w:rsidRPr="00A652BF">
        <w:rPr>
          <w:szCs w:val="24"/>
        </w:rPr>
        <w:t>dni od dnia otrzymania wezwania.</w:t>
      </w:r>
    </w:p>
    <w:p w14:paraId="02CD992F" w14:textId="3344077D" w:rsidR="00A100D6" w:rsidRPr="00A652BF" w:rsidRDefault="00A100D6" w:rsidP="00DB7AF7">
      <w:pPr>
        <w:spacing w:before="26" w:after="0"/>
        <w:jc w:val="both"/>
        <w:rPr>
          <w:szCs w:val="24"/>
        </w:rPr>
      </w:pPr>
      <w:r w:rsidRPr="00A652BF">
        <w:rPr>
          <w:szCs w:val="24"/>
        </w:rPr>
        <w:t>1c. Wniosek nieuzupełniony w terminie pozostawia się bez rozpatrzenia.</w:t>
      </w:r>
      <w:r w:rsidR="00042C4F" w:rsidRPr="00A652BF">
        <w:rPr>
          <w:szCs w:val="24"/>
        </w:rPr>
        <w:t>”</w:t>
      </w:r>
    </w:p>
    <w:p w14:paraId="7AC3AE9F" w14:textId="0D58B458" w:rsidR="0071188D" w:rsidRPr="00A652BF" w:rsidRDefault="0071188D" w:rsidP="00DB7AF7">
      <w:pPr>
        <w:spacing w:before="26" w:after="0"/>
        <w:jc w:val="both"/>
        <w:rPr>
          <w:szCs w:val="24"/>
        </w:rPr>
      </w:pPr>
    </w:p>
    <w:p w14:paraId="2F63A628" w14:textId="1AEA3729" w:rsidR="00BA2251" w:rsidRPr="00A652BF" w:rsidRDefault="002061BD" w:rsidP="00DB7AF7">
      <w:pPr>
        <w:spacing w:before="26" w:after="0"/>
        <w:jc w:val="both"/>
        <w:rPr>
          <w:bCs/>
          <w:color w:val="000000"/>
          <w:szCs w:val="24"/>
        </w:rPr>
      </w:pPr>
      <w:r w:rsidRPr="00A652BF">
        <w:rPr>
          <w:b/>
          <w:bCs/>
          <w:color w:val="000000"/>
          <w:szCs w:val="24"/>
        </w:rPr>
        <w:t xml:space="preserve">4 </w:t>
      </w:r>
      <w:r w:rsidR="00042C4F" w:rsidRPr="00A652BF">
        <w:rPr>
          <w:b/>
          <w:bCs/>
          <w:color w:val="000000"/>
          <w:szCs w:val="24"/>
        </w:rPr>
        <w:t>)</w:t>
      </w:r>
      <w:r w:rsidR="00042C4F" w:rsidRPr="00A652BF">
        <w:rPr>
          <w:bCs/>
          <w:color w:val="000000"/>
          <w:szCs w:val="24"/>
        </w:rPr>
        <w:t xml:space="preserve"> uchyla się § 11</w:t>
      </w:r>
      <w:r w:rsidR="00BE0C96" w:rsidRPr="00A652BF">
        <w:rPr>
          <w:bCs/>
          <w:color w:val="000000"/>
          <w:szCs w:val="24"/>
        </w:rPr>
        <w:t>.</w:t>
      </w:r>
    </w:p>
    <w:p w14:paraId="70DD9229" w14:textId="77777777" w:rsidR="00EE2627" w:rsidRPr="00A652BF" w:rsidRDefault="00EE2627" w:rsidP="00DB7AF7">
      <w:pPr>
        <w:spacing w:before="26" w:after="0"/>
        <w:jc w:val="both"/>
        <w:rPr>
          <w:bCs/>
          <w:szCs w:val="24"/>
        </w:rPr>
      </w:pPr>
    </w:p>
    <w:p w14:paraId="488E4B96" w14:textId="2652E50E" w:rsidR="00BA2251" w:rsidRPr="00A652BF" w:rsidRDefault="002061BD" w:rsidP="00DB7AF7">
      <w:pPr>
        <w:spacing w:before="26" w:after="0"/>
        <w:jc w:val="both"/>
        <w:rPr>
          <w:bCs/>
          <w:color w:val="000000"/>
          <w:szCs w:val="24"/>
        </w:rPr>
      </w:pPr>
      <w:r w:rsidRPr="00A652BF">
        <w:rPr>
          <w:b/>
          <w:bCs/>
          <w:color w:val="000000"/>
          <w:szCs w:val="24"/>
        </w:rPr>
        <w:t xml:space="preserve">5 </w:t>
      </w:r>
      <w:r w:rsidR="00042C4F" w:rsidRPr="00A652BF">
        <w:rPr>
          <w:b/>
          <w:bCs/>
          <w:color w:val="000000"/>
          <w:szCs w:val="24"/>
        </w:rPr>
        <w:t>)</w:t>
      </w:r>
      <w:r w:rsidR="00042C4F" w:rsidRPr="00A652BF">
        <w:rPr>
          <w:bCs/>
          <w:color w:val="000000"/>
          <w:szCs w:val="24"/>
        </w:rPr>
        <w:t xml:space="preserve"> uchyla się § 12 ust. 2 oraz ust. 3</w:t>
      </w:r>
      <w:r w:rsidR="00BE0C96" w:rsidRPr="00A652BF">
        <w:rPr>
          <w:bCs/>
          <w:color w:val="000000"/>
          <w:szCs w:val="24"/>
        </w:rPr>
        <w:t>.</w:t>
      </w:r>
    </w:p>
    <w:p w14:paraId="6567D051" w14:textId="77777777" w:rsidR="00EE2627" w:rsidRPr="00A652BF" w:rsidRDefault="00EE2627" w:rsidP="00DB7AF7">
      <w:pPr>
        <w:spacing w:before="26" w:after="0"/>
        <w:jc w:val="both"/>
        <w:rPr>
          <w:bCs/>
          <w:szCs w:val="24"/>
        </w:rPr>
      </w:pPr>
    </w:p>
    <w:p w14:paraId="6CA30533" w14:textId="552A16A9" w:rsidR="00BA2251" w:rsidRPr="00A652BF" w:rsidRDefault="002061BD" w:rsidP="00DB7AF7">
      <w:pPr>
        <w:spacing w:before="26" w:after="0"/>
        <w:jc w:val="both"/>
        <w:rPr>
          <w:bCs/>
          <w:color w:val="000000"/>
          <w:szCs w:val="24"/>
        </w:rPr>
      </w:pPr>
      <w:r w:rsidRPr="00A652BF">
        <w:rPr>
          <w:b/>
          <w:bCs/>
          <w:color w:val="000000"/>
          <w:szCs w:val="24"/>
        </w:rPr>
        <w:t xml:space="preserve">6 </w:t>
      </w:r>
      <w:r w:rsidR="00042C4F" w:rsidRPr="00A652BF">
        <w:rPr>
          <w:b/>
          <w:bCs/>
          <w:color w:val="000000"/>
          <w:szCs w:val="24"/>
        </w:rPr>
        <w:t>)</w:t>
      </w:r>
      <w:r w:rsidR="00042C4F" w:rsidRPr="00A652BF">
        <w:rPr>
          <w:bCs/>
          <w:color w:val="000000"/>
          <w:szCs w:val="24"/>
        </w:rPr>
        <w:t xml:space="preserve"> uchyla się § 15 ust. 1</w:t>
      </w:r>
      <w:r w:rsidR="00BE0C96" w:rsidRPr="00A652BF">
        <w:rPr>
          <w:bCs/>
          <w:color w:val="000000"/>
          <w:szCs w:val="24"/>
        </w:rPr>
        <w:t>.</w:t>
      </w:r>
    </w:p>
    <w:p w14:paraId="1C83331A" w14:textId="77777777" w:rsidR="00EE2627" w:rsidRPr="00A652BF" w:rsidRDefault="00EE2627" w:rsidP="00DB7AF7">
      <w:pPr>
        <w:spacing w:before="26" w:after="0"/>
        <w:jc w:val="both"/>
        <w:rPr>
          <w:bCs/>
          <w:szCs w:val="24"/>
        </w:rPr>
      </w:pPr>
    </w:p>
    <w:p w14:paraId="37857351" w14:textId="28EE5295" w:rsidR="00DB7AF7" w:rsidRPr="00A652BF" w:rsidRDefault="002061BD" w:rsidP="00DB7AF7">
      <w:pPr>
        <w:spacing w:before="26" w:after="240"/>
        <w:jc w:val="both"/>
        <w:rPr>
          <w:szCs w:val="24"/>
        </w:rPr>
      </w:pPr>
      <w:r w:rsidRPr="00A652BF">
        <w:rPr>
          <w:b/>
          <w:bCs/>
          <w:color w:val="000000"/>
          <w:szCs w:val="24"/>
        </w:rPr>
        <w:t xml:space="preserve">7 </w:t>
      </w:r>
      <w:r w:rsidR="00042C4F" w:rsidRPr="00A652BF">
        <w:rPr>
          <w:b/>
          <w:bCs/>
          <w:color w:val="000000"/>
          <w:szCs w:val="24"/>
        </w:rPr>
        <w:t>)</w:t>
      </w:r>
      <w:r w:rsidR="00042C4F" w:rsidRPr="00A652BF">
        <w:rPr>
          <w:bCs/>
          <w:color w:val="000000"/>
          <w:szCs w:val="24"/>
        </w:rPr>
        <w:t xml:space="preserve"> po § 15 dodaje się § 15a</w:t>
      </w:r>
      <w:r w:rsidR="00DB7AF7" w:rsidRPr="00A652BF">
        <w:rPr>
          <w:szCs w:val="24"/>
        </w:rPr>
        <w:t>, § 15b</w:t>
      </w:r>
      <w:r w:rsidR="00E5631A" w:rsidRPr="00A652BF">
        <w:rPr>
          <w:szCs w:val="24"/>
        </w:rPr>
        <w:t>,</w:t>
      </w:r>
      <w:r w:rsidR="00BE0C96" w:rsidRPr="00A652BF">
        <w:rPr>
          <w:szCs w:val="24"/>
        </w:rPr>
        <w:t xml:space="preserve"> </w:t>
      </w:r>
      <w:r w:rsidR="00DB7AF7" w:rsidRPr="00A652BF">
        <w:rPr>
          <w:szCs w:val="24"/>
        </w:rPr>
        <w:t>§15c</w:t>
      </w:r>
      <w:r w:rsidR="00BE0C96" w:rsidRPr="00A652BF">
        <w:rPr>
          <w:szCs w:val="24"/>
        </w:rPr>
        <w:t xml:space="preserve"> </w:t>
      </w:r>
      <w:r w:rsidR="00E5631A" w:rsidRPr="00A652BF">
        <w:rPr>
          <w:szCs w:val="24"/>
        </w:rPr>
        <w:t xml:space="preserve">i §15d </w:t>
      </w:r>
      <w:r w:rsidR="00DB7AF7" w:rsidRPr="00A652BF">
        <w:rPr>
          <w:szCs w:val="24"/>
        </w:rPr>
        <w:t xml:space="preserve"> w następującym brzmieniu:</w:t>
      </w:r>
    </w:p>
    <w:p w14:paraId="15A5C95D" w14:textId="592B47EA" w:rsidR="00DB7AF7" w:rsidRPr="00A652BF" w:rsidRDefault="00DB7AF7" w:rsidP="00DB7AF7">
      <w:pPr>
        <w:jc w:val="both"/>
        <w:rPr>
          <w:szCs w:val="24"/>
        </w:rPr>
      </w:pPr>
      <w:r w:rsidRPr="00A652BF">
        <w:rPr>
          <w:szCs w:val="24"/>
        </w:rPr>
        <w:t>„</w:t>
      </w:r>
      <w:r w:rsidRPr="00A652BF">
        <w:rPr>
          <w:b/>
          <w:bCs/>
          <w:szCs w:val="24"/>
        </w:rPr>
        <w:t>§ 15a</w:t>
      </w:r>
      <w:r w:rsidRPr="00A652BF">
        <w:rPr>
          <w:bCs/>
          <w:szCs w:val="24"/>
        </w:rPr>
        <w:t>.</w:t>
      </w:r>
      <w:r w:rsidR="0031104F">
        <w:rPr>
          <w:bCs/>
          <w:szCs w:val="24"/>
        </w:rPr>
        <w:t xml:space="preserve"> </w:t>
      </w:r>
      <w:r w:rsidRPr="00A652BF">
        <w:rPr>
          <w:bCs/>
          <w:szCs w:val="24"/>
        </w:rPr>
        <w:t>1.</w:t>
      </w:r>
      <w:r w:rsidRPr="00A652BF">
        <w:rPr>
          <w:szCs w:val="24"/>
        </w:rPr>
        <w:t xml:space="preserve"> W przypadku ubiega</w:t>
      </w:r>
      <w:r w:rsidR="00634BC8" w:rsidRPr="00A652BF">
        <w:rPr>
          <w:szCs w:val="24"/>
        </w:rPr>
        <w:t>nia</w:t>
      </w:r>
      <w:r w:rsidRPr="00A652BF">
        <w:rPr>
          <w:szCs w:val="24"/>
        </w:rPr>
        <w:t xml:space="preserve"> się o dotację przez podmiot prowadzący działalność gospodarczą w rozumieniu unijnego prawa konkurencji, dotacja – w zakresie w jakim dotyczy nieruchomości wykorzystywanej do prowadzenia tej działalności – stanowi</w:t>
      </w:r>
      <w:r w:rsidR="00E5631A" w:rsidRPr="00A652BF">
        <w:rPr>
          <w:szCs w:val="24"/>
        </w:rPr>
        <w:t xml:space="preserve"> </w:t>
      </w:r>
      <w:r w:rsidRPr="00A652BF">
        <w:rPr>
          <w:szCs w:val="24"/>
        </w:rPr>
        <w:t xml:space="preserve">pomoc de </w:t>
      </w:r>
      <w:proofErr w:type="spellStart"/>
      <w:r w:rsidRPr="00A652BF">
        <w:rPr>
          <w:szCs w:val="24"/>
        </w:rPr>
        <w:t>minimis</w:t>
      </w:r>
      <w:proofErr w:type="spellEnd"/>
      <w:r w:rsidR="00E5631A" w:rsidRPr="00A652BF">
        <w:rPr>
          <w:szCs w:val="24"/>
        </w:rPr>
        <w:t xml:space="preserve">, </w:t>
      </w:r>
      <w:r w:rsidRPr="00A652BF">
        <w:rPr>
          <w:szCs w:val="24"/>
        </w:rPr>
        <w:t xml:space="preserve">pomoc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rolnictwie albo pomoc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rybołówstwie określonych odpowiednio </w:t>
      </w:r>
      <w:r w:rsidR="00E5631A" w:rsidRPr="00A652BF">
        <w:rPr>
          <w:szCs w:val="24"/>
        </w:rPr>
        <w:t xml:space="preserve">albo </w:t>
      </w:r>
      <w:r w:rsidRPr="00A652BF">
        <w:rPr>
          <w:szCs w:val="24"/>
        </w:rPr>
        <w:t xml:space="preserve">w: </w:t>
      </w:r>
    </w:p>
    <w:p w14:paraId="142AAD95" w14:textId="11D303DE" w:rsidR="00DB7AF7" w:rsidRPr="00A652BF" w:rsidRDefault="00DB7AF7" w:rsidP="00DB7AF7">
      <w:pPr>
        <w:ind w:left="708"/>
        <w:jc w:val="both"/>
        <w:rPr>
          <w:szCs w:val="24"/>
        </w:rPr>
      </w:pPr>
      <w:r w:rsidRPr="00A652BF">
        <w:rPr>
          <w:szCs w:val="24"/>
        </w:rPr>
        <w:t xml:space="preserve">1) rozporządzeniu Komisji (UE) nr 2023/2831 z dnia 13 grudnia 2023 r. w sprawie stosowania art. 107 i 108 Traktatu o funkcjonowaniu Unii Europejskiej do pomocy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(Dz. Urz. UE L, 2023/2831 z 15.12.2023)</w:t>
      </w:r>
      <w:r w:rsidR="00E5631A" w:rsidRPr="00A652BF">
        <w:rPr>
          <w:szCs w:val="24"/>
        </w:rPr>
        <w:t>.</w:t>
      </w:r>
    </w:p>
    <w:p w14:paraId="4451FAD4" w14:textId="5279104C" w:rsidR="00DB7AF7" w:rsidRPr="00A652BF" w:rsidRDefault="00DB7AF7" w:rsidP="00DB7AF7">
      <w:pPr>
        <w:ind w:left="708"/>
        <w:jc w:val="both"/>
        <w:rPr>
          <w:szCs w:val="24"/>
        </w:rPr>
      </w:pPr>
      <w:r w:rsidRPr="00A652BF">
        <w:rPr>
          <w:szCs w:val="24"/>
        </w:rPr>
        <w:t xml:space="preserve">2) rozporządzeniu Komisji (UE) nr 1408/2013 z dnia 18 grudnia 2013 r. w sprawie stosowania art. 107 i 108 </w:t>
      </w:r>
      <w:proofErr w:type="spellStart"/>
      <w:r w:rsidRPr="00A652BF">
        <w:rPr>
          <w:szCs w:val="24"/>
        </w:rPr>
        <w:t>Traktatau</w:t>
      </w:r>
      <w:proofErr w:type="spellEnd"/>
      <w:r w:rsidRPr="00A652BF">
        <w:rPr>
          <w:szCs w:val="24"/>
        </w:rPr>
        <w:t xml:space="preserve"> o funkcjonowaniu Unii Europejskiej do pomocy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sektorze rolnym (Dz. Urz. UE L 352 z 24.12.2013, s. 9, z </w:t>
      </w:r>
      <w:proofErr w:type="spellStart"/>
      <w:r w:rsidRPr="00A652BF">
        <w:rPr>
          <w:szCs w:val="24"/>
        </w:rPr>
        <w:t>poźn</w:t>
      </w:r>
      <w:proofErr w:type="spellEnd"/>
      <w:r w:rsidRPr="00A652BF">
        <w:rPr>
          <w:szCs w:val="24"/>
        </w:rPr>
        <w:t>. zm.)</w:t>
      </w:r>
      <w:r w:rsidR="00E5631A" w:rsidRPr="00A652BF">
        <w:rPr>
          <w:szCs w:val="24"/>
        </w:rPr>
        <w:t xml:space="preserve">. </w:t>
      </w:r>
    </w:p>
    <w:p w14:paraId="18107EB8" w14:textId="09730D01" w:rsidR="00DB7AF7" w:rsidRPr="00A652BF" w:rsidRDefault="00DB7AF7" w:rsidP="00DB7AF7">
      <w:pPr>
        <w:ind w:left="708"/>
        <w:jc w:val="both"/>
        <w:rPr>
          <w:szCs w:val="24"/>
        </w:rPr>
      </w:pPr>
      <w:r w:rsidRPr="00A652BF">
        <w:rPr>
          <w:szCs w:val="24"/>
        </w:rPr>
        <w:t xml:space="preserve">3) rozporządzeniu Komisji (UE) nr 717/2014 z dnia 27 czerwca 2014 r. w sprawie stosowania art. 107 i 108 Traktatu o funkcjonowaniu Unii Europejskiej do pomocy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sektorze rybołówstwa i akwakultury (Dz. Urz. UE L 190 z 28.06.2014, s. 45, z </w:t>
      </w:r>
      <w:proofErr w:type="spellStart"/>
      <w:r w:rsidRPr="00A652BF">
        <w:rPr>
          <w:szCs w:val="24"/>
        </w:rPr>
        <w:t>późn</w:t>
      </w:r>
      <w:proofErr w:type="spellEnd"/>
      <w:r w:rsidRPr="00A652BF">
        <w:rPr>
          <w:szCs w:val="24"/>
        </w:rPr>
        <w:t>. zm.).</w:t>
      </w:r>
      <w:r w:rsidR="00E5631A" w:rsidRPr="00A652BF">
        <w:rPr>
          <w:szCs w:val="24"/>
        </w:rPr>
        <w:t xml:space="preserve"> </w:t>
      </w:r>
    </w:p>
    <w:p w14:paraId="26976A65" w14:textId="2E5FFE51" w:rsidR="005646E9" w:rsidRPr="00A652BF" w:rsidRDefault="005815D1" w:rsidP="00AD530F">
      <w:pPr>
        <w:jc w:val="both"/>
        <w:rPr>
          <w:szCs w:val="24"/>
        </w:rPr>
      </w:pPr>
      <w:r w:rsidRPr="00A652BF">
        <w:rPr>
          <w:b/>
          <w:bCs/>
          <w:color w:val="000000" w:themeColor="text1"/>
          <w:szCs w:val="24"/>
        </w:rPr>
        <w:t xml:space="preserve">§ 15b. 1. </w:t>
      </w:r>
      <w:r w:rsidR="005646E9" w:rsidRPr="00A652BF">
        <w:rPr>
          <w:color w:val="000000" w:themeColor="text1"/>
          <w:szCs w:val="24"/>
        </w:rPr>
        <w:t xml:space="preserve"> Podmiot ubiegający się o pomoc de </w:t>
      </w:r>
      <w:proofErr w:type="spellStart"/>
      <w:r w:rsidR="005646E9" w:rsidRPr="00A652BF">
        <w:rPr>
          <w:color w:val="000000" w:themeColor="text1"/>
          <w:szCs w:val="24"/>
        </w:rPr>
        <w:t>minimis</w:t>
      </w:r>
      <w:proofErr w:type="spellEnd"/>
      <w:r w:rsidR="005646E9" w:rsidRPr="00A652BF">
        <w:rPr>
          <w:color w:val="000000" w:themeColor="text1"/>
          <w:szCs w:val="24"/>
        </w:rPr>
        <w:t xml:space="preserve">, </w:t>
      </w:r>
      <w:r w:rsidR="00E5631A" w:rsidRPr="00A652BF">
        <w:rPr>
          <w:color w:val="000000" w:themeColor="text1"/>
          <w:szCs w:val="24"/>
        </w:rPr>
        <w:t xml:space="preserve">w rozumieniu rozporządzenia Komisji (UE) 2023/2831 z dnia 13 grudnia 2023 r. w sprawie stosowania art. 107 i 108 Traktatu o funkcjonowaniu Unii Europejskiej do pomocy de </w:t>
      </w:r>
      <w:proofErr w:type="spellStart"/>
      <w:r w:rsidR="00E5631A" w:rsidRPr="00A652BF">
        <w:rPr>
          <w:color w:val="000000" w:themeColor="text1"/>
          <w:szCs w:val="24"/>
        </w:rPr>
        <w:t>minimis</w:t>
      </w:r>
      <w:proofErr w:type="spellEnd"/>
      <w:r w:rsidR="00E5631A" w:rsidRPr="00A652BF">
        <w:rPr>
          <w:color w:val="000000" w:themeColor="text1"/>
          <w:szCs w:val="24"/>
        </w:rPr>
        <w:t xml:space="preserve"> (Dz. Urz. UE L, 2023/2831 z 15.12.2023 r.) </w:t>
      </w:r>
      <w:r w:rsidR="005646E9" w:rsidRPr="00A652BF">
        <w:rPr>
          <w:color w:val="000000" w:themeColor="text1"/>
          <w:szCs w:val="24"/>
        </w:rPr>
        <w:t xml:space="preserve">zobowiązany </w:t>
      </w:r>
      <w:r w:rsidR="00E5631A" w:rsidRPr="00A652BF">
        <w:rPr>
          <w:color w:val="000000" w:themeColor="text1"/>
          <w:szCs w:val="24"/>
        </w:rPr>
        <w:t xml:space="preserve">jest </w:t>
      </w:r>
      <w:r w:rsidR="005646E9" w:rsidRPr="00A652BF">
        <w:rPr>
          <w:color w:val="000000" w:themeColor="text1"/>
          <w:szCs w:val="24"/>
        </w:rPr>
        <w:t>do przedstawienia podmiotowi udzielającemu pomocy, wraz z wnioskiem o udzielenie pomocy:</w:t>
      </w:r>
    </w:p>
    <w:p w14:paraId="19D95B9E" w14:textId="0287F01F" w:rsidR="005646E9" w:rsidRPr="00A652BF" w:rsidRDefault="005646E9" w:rsidP="005646E9">
      <w:pPr>
        <w:numPr>
          <w:ilvl w:val="1"/>
          <w:numId w:val="3"/>
        </w:numPr>
        <w:jc w:val="both"/>
        <w:rPr>
          <w:color w:val="000000" w:themeColor="text1"/>
          <w:szCs w:val="24"/>
        </w:rPr>
      </w:pPr>
      <w:r w:rsidRPr="00A652BF">
        <w:rPr>
          <w:color w:val="000000" w:themeColor="text1"/>
          <w:szCs w:val="24"/>
        </w:rPr>
        <w:t xml:space="preserve">wszystkich zaświadczeń o pomocy de </w:t>
      </w:r>
      <w:proofErr w:type="spellStart"/>
      <w:r w:rsidRPr="00A652BF">
        <w:rPr>
          <w:color w:val="000000" w:themeColor="text1"/>
          <w:szCs w:val="24"/>
        </w:rPr>
        <w:t>minimis</w:t>
      </w:r>
      <w:proofErr w:type="spellEnd"/>
      <w:r w:rsidRPr="00A652BF">
        <w:rPr>
          <w:color w:val="000000" w:themeColor="text1"/>
          <w:szCs w:val="24"/>
        </w:rPr>
        <w:t xml:space="preserve"> oraz pomocy de </w:t>
      </w:r>
      <w:proofErr w:type="spellStart"/>
      <w:r w:rsidRPr="00A652BF">
        <w:rPr>
          <w:color w:val="000000" w:themeColor="text1"/>
          <w:szCs w:val="24"/>
        </w:rPr>
        <w:t>minimis</w:t>
      </w:r>
      <w:proofErr w:type="spellEnd"/>
      <w:r w:rsidRPr="00A652BF">
        <w:rPr>
          <w:color w:val="000000" w:themeColor="text1"/>
          <w:szCs w:val="24"/>
        </w:rPr>
        <w:t xml:space="preserve"> w rolnictwie lub rybołówstwie otrzymanej w ciągu minionych trzech lat, albo oświadczenia o wielkości tej pomocy otrzymanej w tym okresie, albo oświadczenia o nieotrzymaniu takiej pomocy w tym okresie; </w:t>
      </w:r>
    </w:p>
    <w:p w14:paraId="408D84D1" w14:textId="728CBF7A" w:rsidR="00E5631A" w:rsidRPr="00A652BF" w:rsidRDefault="005646E9" w:rsidP="00E5631A">
      <w:pPr>
        <w:numPr>
          <w:ilvl w:val="1"/>
          <w:numId w:val="3"/>
        </w:numPr>
        <w:jc w:val="both"/>
        <w:rPr>
          <w:color w:val="000000" w:themeColor="text1"/>
          <w:szCs w:val="24"/>
        </w:rPr>
      </w:pPr>
      <w:r w:rsidRPr="00A652BF">
        <w:rPr>
          <w:color w:val="000000" w:themeColor="text1"/>
          <w:szCs w:val="24"/>
        </w:rPr>
        <w:t xml:space="preserve">informacji określonych w rozporządzeniu Rady Ministrów z dnia 29 marca 2010 r. w sprawie zakresu informacji przedstawianych przez podmiot ubiegający się o pomoc de </w:t>
      </w:r>
      <w:proofErr w:type="spellStart"/>
      <w:r w:rsidRPr="00A652BF">
        <w:rPr>
          <w:color w:val="000000" w:themeColor="text1"/>
          <w:szCs w:val="24"/>
        </w:rPr>
        <w:t>minimis</w:t>
      </w:r>
      <w:proofErr w:type="spellEnd"/>
      <w:r w:rsidRPr="00A652BF">
        <w:rPr>
          <w:color w:val="000000" w:themeColor="text1"/>
          <w:szCs w:val="24"/>
        </w:rPr>
        <w:t xml:space="preserve"> (Dz. U. 2024 poz. 40).</w:t>
      </w:r>
    </w:p>
    <w:p w14:paraId="1C9A9BF1" w14:textId="0311A36E" w:rsidR="00E5631A" w:rsidRPr="00A652BF" w:rsidRDefault="00E5631A" w:rsidP="00AD530F">
      <w:pPr>
        <w:jc w:val="both"/>
        <w:rPr>
          <w:color w:val="000000" w:themeColor="text1"/>
          <w:szCs w:val="24"/>
        </w:rPr>
      </w:pPr>
      <w:r w:rsidRPr="00A652BF">
        <w:rPr>
          <w:b/>
          <w:color w:val="000000" w:themeColor="text1"/>
          <w:szCs w:val="24"/>
        </w:rPr>
        <w:t xml:space="preserve">2. </w:t>
      </w:r>
      <w:r w:rsidRPr="00A652BF">
        <w:rPr>
          <w:color w:val="000000" w:themeColor="text1"/>
          <w:szCs w:val="24"/>
        </w:rPr>
        <w:t xml:space="preserve">Pomoc de </w:t>
      </w:r>
      <w:proofErr w:type="spellStart"/>
      <w:r w:rsidRPr="00A652BF">
        <w:rPr>
          <w:color w:val="000000" w:themeColor="text1"/>
          <w:szCs w:val="24"/>
        </w:rPr>
        <w:t>minimis</w:t>
      </w:r>
      <w:proofErr w:type="spellEnd"/>
      <w:r w:rsidRPr="00A652BF">
        <w:rPr>
          <w:color w:val="000000" w:themeColor="text1"/>
          <w:szCs w:val="24"/>
        </w:rPr>
        <w:t xml:space="preserve"> , o której mowa w ust. 1 może być udzielana do 30 czerwca 2031 r.</w:t>
      </w:r>
    </w:p>
    <w:p w14:paraId="4D0A8F01" w14:textId="77777777" w:rsidR="005815D1" w:rsidRPr="00A652BF" w:rsidRDefault="005815D1" w:rsidP="00A652BF">
      <w:pPr>
        <w:spacing w:after="0" w:line="360" w:lineRule="auto"/>
        <w:jc w:val="both"/>
        <w:rPr>
          <w:szCs w:val="24"/>
        </w:rPr>
      </w:pPr>
    </w:p>
    <w:p w14:paraId="4BBD2372" w14:textId="6C72C488" w:rsidR="00A652BF" w:rsidRDefault="005815D1" w:rsidP="00A652B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A652BF">
        <w:rPr>
          <w:rFonts w:eastAsiaTheme="minorHAnsi"/>
          <w:b/>
          <w:szCs w:val="24"/>
          <w:lang w:eastAsia="en-US"/>
        </w:rPr>
        <w:t>§15c.</w:t>
      </w:r>
      <w:r w:rsidR="00A652BF">
        <w:rPr>
          <w:rFonts w:eastAsiaTheme="minorHAnsi"/>
          <w:b/>
          <w:szCs w:val="24"/>
          <w:lang w:eastAsia="en-US"/>
        </w:rPr>
        <w:t xml:space="preserve"> </w:t>
      </w:r>
      <w:r w:rsidRPr="00A652BF">
        <w:rPr>
          <w:rFonts w:eastAsiaTheme="minorHAnsi"/>
          <w:b/>
          <w:szCs w:val="24"/>
          <w:lang w:eastAsia="en-US"/>
        </w:rPr>
        <w:t>1.</w:t>
      </w:r>
      <w:r w:rsidR="00E5631A" w:rsidRPr="00A652BF">
        <w:rPr>
          <w:rFonts w:eastAsiaTheme="minorHAnsi"/>
          <w:szCs w:val="24"/>
          <w:lang w:eastAsia="en-US"/>
        </w:rPr>
        <w:t xml:space="preserve"> </w:t>
      </w:r>
      <w:r w:rsidR="00A652BF" w:rsidRPr="00A652BF">
        <w:rPr>
          <w:rFonts w:eastAsiaTheme="minorHAnsi"/>
          <w:szCs w:val="24"/>
        </w:rPr>
        <w:t xml:space="preserve">Podmiot ubiegający się o pomoc de </w:t>
      </w:r>
      <w:proofErr w:type="spellStart"/>
      <w:r w:rsidR="00A652BF" w:rsidRPr="00A652BF">
        <w:rPr>
          <w:rFonts w:eastAsiaTheme="minorHAnsi"/>
          <w:szCs w:val="24"/>
        </w:rPr>
        <w:t>minimis</w:t>
      </w:r>
      <w:proofErr w:type="spellEnd"/>
      <w:r w:rsidR="00A652BF" w:rsidRPr="00A652BF">
        <w:rPr>
          <w:rFonts w:eastAsiaTheme="minorHAnsi"/>
          <w:szCs w:val="24"/>
        </w:rPr>
        <w:t xml:space="preserve"> w rolnictwie lub w rybołówstwie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zobowiązany jest do przedstawienia podmiotowi udzielającemu pomocy, wraz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z wnioskiem o udzielenie pomocy dokumentów zgodnie z art. 37 ust. 2 ustawy o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postępowaniu w sprawach dotyczących pomocy publicznej oraz informacji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określonych w rozporządzeniu Rady Ministrów z dnia 11 czerwca 2010 roku w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 xml:space="preserve">sprawie informacji składanych przez podmioty ubiegające się o pomoc de </w:t>
      </w:r>
      <w:proofErr w:type="spellStart"/>
      <w:r w:rsidR="00A652BF" w:rsidRPr="00A652BF">
        <w:rPr>
          <w:rFonts w:eastAsiaTheme="minorHAnsi"/>
          <w:szCs w:val="24"/>
        </w:rPr>
        <w:t>minimis</w:t>
      </w:r>
      <w:proofErr w:type="spellEnd"/>
      <w:r w:rsidR="00A652BF" w:rsidRPr="00A652BF">
        <w:rPr>
          <w:rFonts w:eastAsiaTheme="minorHAnsi"/>
          <w:szCs w:val="24"/>
        </w:rPr>
        <w:t xml:space="preserve"> w</w:t>
      </w:r>
      <w:r w:rsidR="00A652B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rolnictwie lub rybołówstwie (Dz.</w:t>
      </w:r>
      <w:r w:rsidR="0031104F">
        <w:rPr>
          <w:rFonts w:eastAsiaTheme="minorHAnsi"/>
          <w:szCs w:val="24"/>
        </w:rPr>
        <w:t xml:space="preserve"> </w:t>
      </w:r>
      <w:r w:rsidR="00A652BF" w:rsidRPr="00A652BF">
        <w:rPr>
          <w:rFonts w:eastAsiaTheme="minorHAnsi"/>
          <w:szCs w:val="24"/>
        </w:rPr>
        <w:t>U. z 2010 r. nr 121, poz. 810)”.</w:t>
      </w:r>
    </w:p>
    <w:p w14:paraId="3CBBC177" w14:textId="59206B31" w:rsidR="001F5586" w:rsidRPr="00A652BF" w:rsidRDefault="001F5586" w:rsidP="00A652BF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A652BF">
        <w:rPr>
          <w:b/>
          <w:szCs w:val="24"/>
        </w:rPr>
        <w:t xml:space="preserve">2. </w:t>
      </w:r>
      <w:r w:rsidRPr="00A652BF">
        <w:rPr>
          <w:szCs w:val="24"/>
        </w:rPr>
        <w:t xml:space="preserve">Pomoc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sektorze rolnym może być udzielana do </w:t>
      </w:r>
      <w:r w:rsidR="002D611B" w:rsidRPr="00A652BF">
        <w:rPr>
          <w:szCs w:val="24"/>
        </w:rPr>
        <w:t>30 czerwca 2028 roku.</w:t>
      </w:r>
    </w:p>
    <w:p w14:paraId="0422F169" w14:textId="0FF5A0A3" w:rsidR="005646E9" w:rsidRPr="001914F4" w:rsidRDefault="002D611B" w:rsidP="001914F4">
      <w:pPr>
        <w:spacing w:after="0" w:line="360" w:lineRule="auto"/>
        <w:jc w:val="both"/>
        <w:rPr>
          <w:szCs w:val="24"/>
        </w:rPr>
      </w:pPr>
      <w:r w:rsidRPr="00A652BF">
        <w:rPr>
          <w:b/>
          <w:szCs w:val="24"/>
        </w:rPr>
        <w:t>3.</w:t>
      </w:r>
      <w:r w:rsidRPr="00A652BF">
        <w:rPr>
          <w:szCs w:val="24"/>
        </w:rPr>
        <w:t xml:space="preserve"> Pomoc de </w:t>
      </w:r>
      <w:proofErr w:type="spellStart"/>
      <w:r w:rsidRPr="00A652BF">
        <w:rPr>
          <w:szCs w:val="24"/>
        </w:rPr>
        <w:t>minimis</w:t>
      </w:r>
      <w:proofErr w:type="spellEnd"/>
      <w:r w:rsidRPr="00A652BF">
        <w:rPr>
          <w:szCs w:val="24"/>
        </w:rPr>
        <w:t xml:space="preserve"> w sektorze rybołówstwa i akwakultury może być udzielana do 30 czerwca 2030 roku.</w:t>
      </w:r>
    </w:p>
    <w:p w14:paraId="4BDF96D4" w14:textId="6E71B53A" w:rsidR="00DB7AF7" w:rsidRPr="00A652BF" w:rsidRDefault="00DB7AF7" w:rsidP="00DB7AF7">
      <w:pPr>
        <w:jc w:val="both"/>
        <w:rPr>
          <w:szCs w:val="24"/>
        </w:rPr>
      </w:pPr>
      <w:r w:rsidRPr="00A652BF">
        <w:rPr>
          <w:b/>
          <w:bCs/>
          <w:szCs w:val="24"/>
        </w:rPr>
        <w:t>§ 15</w:t>
      </w:r>
      <w:r w:rsidR="000904A1" w:rsidRPr="00A652BF">
        <w:rPr>
          <w:b/>
          <w:bCs/>
          <w:szCs w:val="24"/>
        </w:rPr>
        <w:t>d</w:t>
      </w:r>
      <w:r w:rsidRPr="00A652BF">
        <w:rPr>
          <w:b/>
          <w:bCs/>
          <w:szCs w:val="24"/>
        </w:rPr>
        <w:t>.</w:t>
      </w:r>
      <w:r w:rsidRPr="00A652BF">
        <w:rPr>
          <w:szCs w:val="24"/>
        </w:rPr>
        <w:t xml:space="preserve"> Wójt Gminy</w:t>
      </w:r>
      <w:r w:rsidR="00A8552F" w:rsidRPr="00A652BF">
        <w:rPr>
          <w:szCs w:val="24"/>
        </w:rPr>
        <w:t xml:space="preserve"> zawiadamia wnioskodawcę o przyznanej</w:t>
      </w:r>
      <w:r w:rsidR="00321F68" w:rsidRPr="00A652BF">
        <w:rPr>
          <w:szCs w:val="24"/>
        </w:rPr>
        <w:t xml:space="preserve"> </w:t>
      </w:r>
      <w:r w:rsidRPr="00A652BF">
        <w:rPr>
          <w:szCs w:val="24"/>
        </w:rPr>
        <w:t xml:space="preserve">dotacji </w:t>
      </w:r>
      <w:r w:rsidR="00E6288F" w:rsidRPr="00A652BF">
        <w:rPr>
          <w:szCs w:val="24"/>
        </w:rPr>
        <w:t xml:space="preserve">stanowiącej pomoc </w:t>
      </w:r>
      <w:r w:rsidRPr="00A652BF">
        <w:rPr>
          <w:szCs w:val="24"/>
        </w:rPr>
        <w:t xml:space="preserve">de </w:t>
      </w:r>
      <w:proofErr w:type="spellStart"/>
      <w:r w:rsidRPr="00A652BF">
        <w:rPr>
          <w:szCs w:val="24"/>
        </w:rPr>
        <w:t>minimis</w:t>
      </w:r>
      <w:proofErr w:type="spellEnd"/>
      <w:r w:rsidR="00634BC8" w:rsidRPr="00A652BF">
        <w:rPr>
          <w:szCs w:val="24"/>
        </w:rPr>
        <w:t>.</w:t>
      </w:r>
      <w:r w:rsidR="002061BD" w:rsidRPr="00A652BF">
        <w:rPr>
          <w:szCs w:val="24"/>
        </w:rPr>
        <w:t xml:space="preserve"> </w:t>
      </w:r>
      <w:r w:rsidR="00634BC8" w:rsidRPr="00A652BF">
        <w:rPr>
          <w:szCs w:val="24"/>
        </w:rPr>
        <w:t>”</w:t>
      </w:r>
    </w:p>
    <w:p w14:paraId="464B7DE7" w14:textId="23E43F98" w:rsidR="002061BD" w:rsidRPr="00A652BF" w:rsidRDefault="00E6288F" w:rsidP="00DB7AF7">
      <w:pPr>
        <w:spacing w:before="26" w:after="240"/>
        <w:jc w:val="both"/>
        <w:rPr>
          <w:szCs w:val="24"/>
        </w:rPr>
      </w:pPr>
      <w:r w:rsidRPr="00A652BF">
        <w:rPr>
          <w:color w:val="000000"/>
          <w:szCs w:val="24"/>
        </w:rPr>
        <w:t xml:space="preserve">§  </w:t>
      </w:r>
      <w:r w:rsidR="00634BC8" w:rsidRPr="00A652BF">
        <w:rPr>
          <w:color w:val="000000"/>
          <w:szCs w:val="24"/>
        </w:rPr>
        <w:t>2</w:t>
      </w:r>
      <w:r w:rsidRPr="00A652BF">
        <w:rPr>
          <w:color w:val="000000"/>
          <w:szCs w:val="24"/>
        </w:rPr>
        <w:t>.</w:t>
      </w:r>
      <w:r w:rsidR="00634BC8" w:rsidRPr="00A652BF">
        <w:rPr>
          <w:color w:val="000000"/>
          <w:szCs w:val="24"/>
        </w:rPr>
        <w:t xml:space="preserve"> </w:t>
      </w:r>
      <w:r w:rsidRPr="00A652BF">
        <w:rPr>
          <w:color w:val="000000"/>
          <w:szCs w:val="24"/>
        </w:rPr>
        <w:t>Wykonanie uchwały powierza się Wójtowi Gminy.</w:t>
      </w:r>
    </w:p>
    <w:p w14:paraId="7955C46D" w14:textId="1AC63EBA" w:rsidR="00BA2251" w:rsidRPr="00A652BF" w:rsidRDefault="00E6288F" w:rsidP="00DB7AF7">
      <w:pPr>
        <w:spacing w:before="26" w:after="240"/>
        <w:jc w:val="both"/>
        <w:rPr>
          <w:szCs w:val="24"/>
        </w:rPr>
      </w:pPr>
      <w:r w:rsidRPr="00A652BF">
        <w:rPr>
          <w:color w:val="000000"/>
          <w:szCs w:val="24"/>
        </w:rPr>
        <w:t xml:space="preserve">§  </w:t>
      </w:r>
      <w:r w:rsidR="00634BC8" w:rsidRPr="00A652BF">
        <w:rPr>
          <w:color w:val="000000"/>
          <w:szCs w:val="24"/>
        </w:rPr>
        <w:t>3</w:t>
      </w:r>
      <w:r w:rsidRPr="00A652BF">
        <w:rPr>
          <w:color w:val="000000"/>
          <w:szCs w:val="24"/>
        </w:rPr>
        <w:t>.</w:t>
      </w:r>
      <w:r w:rsidR="00634BC8" w:rsidRPr="00A652BF">
        <w:rPr>
          <w:color w:val="000000"/>
          <w:szCs w:val="24"/>
        </w:rPr>
        <w:t xml:space="preserve"> </w:t>
      </w:r>
      <w:r w:rsidRPr="00A652BF">
        <w:rPr>
          <w:color w:val="000000"/>
          <w:szCs w:val="24"/>
        </w:rPr>
        <w:t>Uchwała wchodzi w życie po upływie 14 dni od dnia ogłoszenia w Dzienniku Urzędowym Województwa Łódzkiego.</w:t>
      </w:r>
    </w:p>
    <w:p w14:paraId="36C1EDF7" w14:textId="316D200D" w:rsidR="00BA2251" w:rsidRPr="00A652BF" w:rsidRDefault="00BA2251" w:rsidP="00DB7AF7">
      <w:pPr>
        <w:spacing w:after="0"/>
        <w:jc w:val="both"/>
        <w:rPr>
          <w:szCs w:val="24"/>
        </w:rPr>
      </w:pPr>
    </w:p>
    <w:sectPr w:rsidR="00BA2251" w:rsidRPr="00A652BF" w:rsidSect="00BE0C96">
      <w:pgSz w:w="11907" w:h="16839" w:code="9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2E73" w14:textId="77777777" w:rsidR="00EC2BD6" w:rsidRDefault="00EC2BD6" w:rsidP="00BE0C96">
      <w:pPr>
        <w:spacing w:after="0" w:line="240" w:lineRule="auto"/>
      </w:pPr>
      <w:r>
        <w:separator/>
      </w:r>
    </w:p>
  </w:endnote>
  <w:endnote w:type="continuationSeparator" w:id="0">
    <w:p w14:paraId="7E83A18F" w14:textId="77777777" w:rsidR="00EC2BD6" w:rsidRDefault="00EC2BD6" w:rsidP="00BE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B7EF" w14:textId="77777777" w:rsidR="00EC2BD6" w:rsidRDefault="00EC2BD6" w:rsidP="00BE0C96">
      <w:pPr>
        <w:spacing w:after="0" w:line="240" w:lineRule="auto"/>
      </w:pPr>
      <w:r>
        <w:separator/>
      </w:r>
    </w:p>
  </w:footnote>
  <w:footnote w:type="continuationSeparator" w:id="0">
    <w:p w14:paraId="161E9D9A" w14:textId="77777777" w:rsidR="00EC2BD6" w:rsidRDefault="00EC2BD6" w:rsidP="00BE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B87"/>
    <w:multiLevelType w:val="hybridMultilevel"/>
    <w:tmpl w:val="B82CE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AB2"/>
    <w:multiLevelType w:val="hybridMultilevel"/>
    <w:tmpl w:val="3E76A7A6"/>
    <w:lvl w:ilvl="0" w:tplc="66EC0B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20542"/>
    <w:multiLevelType w:val="multilevel"/>
    <w:tmpl w:val="5242054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76352"/>
    <w:multiLevelType w:val="multilevel"/>
    <w:tmpl w:val="FC38BAB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51"/>
    <w:rsid w:val="00042C4F"/>
    <w:rsid w:val="000904A1"/>
    <w:rsid w:val="0013017E"/>
    <w:rsid w:val="00140EB5"/>
    <w:rsid w:val="00184E48"/>
    <w:rsid w:val="001855B3"/>
    <w:rsid w:val="001914F4"/>
    <w:rsid w:val="001939D0"/>
    <w:rsid w:val="001F5586"/>
    <w:rsid w:val="002061BD"/>
    <w:rsid w:val="00232551"/>
    <w:rsid w:val="0023682B"/>
    <w:rsid w:val="002A0B96"/>
    <w:rsid w:val="002B1629"/>
    <w:rsid w:val="002D611B"/>
    <w:rsid w:val="0031104F"/>
    <w:rsid w:val="00321F68"/>
    <w:rsid w:val="003E57D4"/>
    <w:rsid w:val="005339E6"/>
    <w:rsid w:val="005646E9"/>
    <w:rsid w:val="005815D1"/>
    <w:rsid w:val="005C1AD3"/>
    <w:rsid w:val="005C2843"/>
    <w:rsid w:val="005D3ECF"/>
    <w:rsid w:val="0060307D"/>
    <w:rsid w:val="00634BC8"/>
    <w:rsid w:val="0069198D"/>
    <w:rsid w:val="006974C1"/>
    <w:rsid w:val="006E4F2A"/>
    <w:rsid w:val="00702B84"/>
    <w:rsid w:val="0071188D"/>
    <w:rsid w:val="00754471"/>
    <w:rsid w:val="008218F6"/>
    <w:rsid w:val="00984BD8"/>
    <w:rsid w:val="009B2C34"/>
    <w:rsid w:val="009C4918"/>
    <w:rsid w:val="00A100D6"/>
    <w:rsid w:val="00A13B66"/>
    <w:rsid w:val="00A41BC5"/>
    <w:rsid w:val="00A549F3"/>
    <w:rsid w:val="00A652BF"/>
    <w:rsid w:val="00A8552F"/>
    <w:rsid w:val="00A9570C"/>
    <w:rsid w:val="00AB4FE2"/>
    <w:rsid w:val="00AC7DB1"/>
    <w:rsid w:val="00AD530F"/>
    <w:rsid w:val="00B54637"/>
    <w:rsid w:val="00B7648C"/>
    <w:rsid w:val="00BA2251"/>
    <w:rsid w:val="00BE0C96"/>
    <w:rsid w:val="00C00F2A"/>
    <w:rsid w:val="00D928C9"/>
    <w:rsid w:val="00DB7AF7"/>
    <w:rsid w:val="00DF16F0"/>
    <w:rsid w:val="00E118B0"/>
    <w:rsid w:val="00E21073"/>
    <w:rsid w:val="00E5631A"/>
    <w:rsid w:val="00E6288F"/>
    <w:rsid w:val="00EC2BD6"/>
    <w:rsid w:val="00EE2627"/>
    <w:rsid w:val="00FE1A09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4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34"/>
    <w:qFormat/>
    <w:rsid w:val="00DB7A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4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unhideWhenUsed/>
    <w:rsid w:val="0060307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07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0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C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2024-08-19T13:43:00Z</dcterms:created>
  <dcterms:modified xsi:type="dcterms:W3CDTF">2024-08-23T12:31:00Z</dcterms:modified>
</cp:coreProperties>
</file>